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260245658"/>
      <w:r>
        <w:t>INTRODUCTION</w:t>
      </w:r>
      <w:bookmarkEnd w:id="0"/>
    </w:p>
    <w:p>
      <w:pPr>
        <w:pStyle w:val="Heading2"/>
      </w:pPr>
      <w:bookmarkStart w:id="1" w:name="_Toc260245659"/>
      <w:r>
        <w:t>Purpose</w:t>
      </w:r>
      <w:bookmarkEnd w:id="1"/>
    </w:p>
    <w:p>
      <w:pPr>
        <w:ind w:left="576"/>
      </w:pPr>
      <w:r>
        <w:t xml:space="preserve">The Project Implementation Plan (PIP) addresses the </w:t>
      </w:r>
      <w:proofErr w:type="gramStart"/>
      <w:r>
        <w:t>manner</w:t>
      </w:r>
      <w:proofErr w:type="gramEnd"/>
      <w:r>
        <w:t xml:space="preserve"> in which ManTech </w:t>
      </w:r>
      <w:r>
        <w:t>proposes to procure equipment and provide support for installation and implementation activities for the equipment purchased under CO-13039-VMN,</w:t>
      </w:r>
    </w:p>
    <w:p>
      <w:pPr>
        <w:pStyle w:val="Heading2"/>
      </w:pPr>
      <w:bookmarkStart w:id="2" w:name="_Toc260245660"/>
      <w:r>
        <w:t>Scope</w:t>
      </w:r>
      <w:bookmarkEnd w:id="2"/>
    </w:p>
    <w:p>
      <w:pPr>
        <w:ind w:left="576"/>
      </w:pPr>
      <w:r>
        <w:t xml:space="preserve">The ManTech management approach is designed to meet all the technical requirements, as well as, the distance and time challenges of the </w:t>
      </w:r>
      <w:r>
        <w:t>Afghanistan Mission Network VTC project.</w:t>
      </w:r>
      <w:r>
        <w:t xml:space="preserve">  This document, the Project Implementation Plan (PIP), details all aspects of the project management for this effort</w:t>
      </w:r>
      <w:r>
        <w:t>.</w:t>
      </w:r>
    </w:p>
    <w:p>
      <w:pPr>
        <w:pStyle w:val="Heading2"/>
      </w:pPr>
      <w:bookmarkStart w:id="3" w:name="_Toc260245661"/>
      <w:r>
        <w:t>Project Implementation Plan (PIP)</w:t>
      </w:r>
      <w:bookmarkEnd w:id="3"/>
    </w:p>
    <w:p>
      <w:pPr>
        <w:ind w:left="576"/>
      </w:pPr>
      <w:r>
        <w:t>This version of the PIP describes ManTech’s approach for administration and completion of the contract.  The plan will outline ManTech’s management approach.  The remainder of the PIP is organized as follows:</w:t>
      </w:r>
    </w:p>
    <w:p>
      <w:pPr>
        <w:pStyle w:val="ListParagraph"/>
        <w:numPr>
          <w:ilvl w:val="0"/>
          <w:numId w:val="3"/>
        </w:numPr>
      </w:pPr>
      <w:r>
        <w:t>Section 1 – Technical Solution</w:t>
      </w:r>
    </w:p>
    <w:p>
      <w:pPr>
        <w:pStyle w:val="ListParagraph"/>
        <w:numPr>
          <w:ilvl w:val="0"/>
          <w:numId w:val="3"/>
        </w:numPr>
      </w:pPr>
      <w:r>
        <w:t>Section 2 – Procurement and Delivery</w:t>
      </w:r>
    </w:p>
    <w:p>
      <w:pPr>
        <w:pStyle w:val="ListParagraph"/>
        <w:numPr>
          <w:ilvl w:val="0"/>
          <w:numId w:val="3"/>
        </w:numPr>
      </w:pPr>
      <w:r>
        <w:t>Section 3 – Management and Program Control</w:t>
      </w:r>
    </w:p>
    <w:p>
      <w:pPr>
        <w:pStyle w:val="ListParagraph"/>
        <w:numPr>
          <w:ilvl w:val="0"/>
          <w:numId w:val="3"/>
        </w:numPr>
      </w:pPr>
      <w:r>
        <w:t>Section 4 – Integrated Logistics Support</w:t>
      </w:r>
    </w:p>
    <w:p>
      <w:pPr>
        <w:pStyle w:val="ListParagraph"/>
        <w:numPr>
          <w:ilvl w:val="0"/>
          <w:numId w:val="3"/>
        </w:numPr>
      </w:pPr>
      <w:r>
        <w:t>Section 5 – Security</w:t>
      </w:r>
    </w:p>
    <w:p>
      <w:pPr>
        <w:pStyle w:val="Heading1"/>
      </w:pPr>
      <w:bookmarkStart w:id="4" w:name="_Toc260245662"/>
      <w:r>
        <w:t>section 1 – technical solution</w:t>
      </w:r>
      <w:bookmarkEnd w:id="4"/>
    </w:p>
    <w:p>
      <w:pPr>
        <w:pStyle w:val="Heading3"/>
      </w:pPr>
      <w:r>
        <w:t>Infrastructure Equipment</w:t>
      </w:r>
    </w:p>
    <w:p>
      <w:r>
        <w:t>ManTech will provide support to the NATO Installation team for the support of the installation and implementation of the following equipment at the locations identified in the Statement of Supplies and Services.</w:t>
      </w:r>
    </w:p>
    <w:p/>
    <w:tbl>
      <w:tblPr>
        <w:tblW w:w="6600" w:type="dxa"/>
        <w:tblInd w:w="1383" w:type="dxa"/>
        <w:tblLook w:val="04A0"/>
      </w:tblPr>
      <w:tblGrid>
        <w:gridCol w:w="5780"/>
        <w:gridCol w:w="820"/>
      </w:tblGrid>
      <w:tr>
        <w:trPr>
          <w:trHeight w:val="315"/>
        </w:trPr>
        <w:tc>
          <w:tcPr>
            <w:tcW w:w="5780" w:type="dxa"/>
            <w:tcBorders>
              <w:top w:val="single" w:sz="4" w:space="0" w:color="auto"/>
              <w:left w:val="single" w:sz="4" w:space="0" w:color="auto"/>
              <w:bottom w:val="single" w:sz="4" w:space="0" w:color="auto"/>
              <w:right w:val="single" w:sz="4" w:space="0" w:color="auto"/>
            </w:tcBorders>
            <w:shd w:val="clear" w:color="000000" w:fill="C0C0C0"/>
            <w:noWrap/>
            <w:hideMark/>
          </w:tcPr>
          <w:p>
            <w:pPr>
              <w:spacing w:before="0"/>
              <w:ind w:left="0"/>
              <w:rPr>
                <w:b/>
                <w:bCs/>
              </w:rPr>
            </w:pPr>
            <w:r>
              <w:rPr>
                <w:b/>
                <w:bCs/>
              </w:rPr>
              <w:t>VNOC (VTC Network Operation Centre)</w:t>
            </w:r>
          </w:p>
        </w:tc>
        <w:tc>
          <w:tcPr>
            <w:tcW w:w="820" w:type="dxa"/>
            <w:tcBorders>
              <w:top w:val="single" w:sz="4" w:space="0" w:color="auto"/>
              <w:left w:val="nil"/>
              <w:bottom w:val="single" w:sz="4" w:space="0" w:color="auto"/>
              <w:right w:val="single" w:sz="4" w:space="0" w:color="auto"/>
            </w:tcBorders>
            <w:shd w:val="clear" w:color="000000" w:fill="C0C0C0"/>
            <w:noWrap/>
            <w:hideMark/>
          </w:tcPr>
          <w:p>
            <w:pPr>
              <w:spacing w:before="0"/>
              <w:ind w:left="0"/>
              <w:jc w:val="center"/>
              <w:rPr>
                <w:b/>
                <w:bCs/>
              </w:rPr>
            </w:pPr>
            <w:r>
              <w:rPr>
                <w:b/>
                <w:bCs/>
              </w:rPr>
              <w:t> </w:t>
            </w:r>
          </w:p>
        </w:tc>
      </w:tr>
      <w:tr>
        <w:trPr>
          <w:trHeight w:val="1575"/>
        </w:trPr>
        <w:tc>
          <w:tcPr>
            <w:tcW w:w="5780" w:type="dxa"/>
            <w:tcBorders>
              <w:top w:val="nil"/>
              <w:left w:val="single" w:sz="4" w:space="0" w:color="auto"/>
              <w:bottom w:val="single" w:sz="4" w:space="0" w:color="auto"/>
              <w:right w:val="single" w:sz="4" w:space="0" w:color="auto"/>
            </w:tcBorders>
            <w:shd w:val="clear" w:color="auto" w:fill="auto"/>
            <w:hideMark/>
          </w:tcPr>
          <w:p>
            <w:pPr>
              <w:spacing w:before="0"/>
              <w:ind w:left="0"/>
            </w:pPr>
            <w:r>
              <w:t xml:space="preserve">Polycom CMA 5000 + 500 Devices includes appliance, Gatekeeper, Conference Monitoring, Scheduling (Web, Outlook, Lotus), Device  Mgmt; automatic software update , provisioning , support for CMAD, power cord kit outside US, Including </w:t>
            </w:r>
            <w:proofErr w:type="spellStart"/>
            <w:r>
              <w:t>Premier,one</w:t>
            </w:r>
            <w:proofErr w:type="spellEnd"/>
            <w:r>
              <w:t xml:space="preserve"> year.</w:t>
            </w:r>
          </w:p>
        </w:tc>
        <w:tc>
          <w:tcPr>
            <w:tcW w:w="820" w:type="dxa"/>
            <w:tcBorders>
              <w:top w:val="nil"/>
              <w:left w:val="nil"/>
              <w:bottom w:val="single" w:sz="4" w:space="0" w:color="auto"/>
              <w:right w:val="single" w:sz="4" w:space="0" w:color="auto"/>
            </w:tcBorders>
            <w:shd w:val="clear" w:color="auto" w:fill="auto"/>
            <w:noWrap/>
            <w:hideMark/>
          </w:tcPr>
          <w:p>
            <w:pPr>
              <w:spacing w:before="0"/>
              <w:ind w:left="0"/>
              <w:jc w:val="center"/>
            </w:pPr>
            <w:r>
              <w:t>2</w:t>
            </w:r>
          </w:p>
        </w:tc>
      </w:tr>
      <w:tr>
        <w:trPr>
          <w:trHeight w:val="945"/>
        </w:trPr>
        <w:tc>
          <w:tcPr>
            <w:tcW w:w="5780" w:type="dxa"/>
            <w:tcBorders>
              <w:top w:val="nil"/>
              <w:left w:val="single" w:sz="4" w:space="0" w:color="auto"/>
              <w:bottom w:val="single" w:sz="4" w:space="0" w:color="auto"/>
              <w:right w:val="single" w:sz="4" w:space="0" w:color="auto"/>
            </w:tcBorders>
            <w:shd w:val="clear" w:color="auto" w:fill="auto"/>
            <w:hideMark/>
          </w:tcPr>
          <w:p>
            <w:pPr>
              <w:spacing w:before="0"/>
              <w:ind w:left="0"/>
            </w:pPr>
            <w:r>
              <w:t>Redundant Appliance and license for any CMA 5000 solution up to 5000 licenses.  License for redundant solution included.</w:t>
            </w:r>
          </w:p>
        </w:tc>
        <w:tc>
          <w:tcPr>
            <w:tcW w:w="820" w:type="dxa"/>
            <w:tcBorders>
              <w:top w:val="nil"/>
              <w:left w:val="nil"/>
              <w:bottom w:val="single" w:sz="4" w:space="0" w:color="auto"/>
              <w:right w:val="single" w:sz="4" w:space="0" w:color="auto"/>
            </w:tcBorders>
            <w:shd w:val="clear" w:color="auto" w:fill="auto"/>
            <w:noWrap/>
            <w:hideMark/>
          </w:tcPr>
          <w:p>
            <w:pPr>
              <w:spacing w:before="0"/>
              <w:ind w:left="0"/>
              <w:jc w:val="center"/>
            </w:pPr>
            <w:r>
              <w:t>2</w:t>
            </w:r>
          </w:p>
        </w:tc>
      </w:tr>
      <w:tr>
        <w:trPr>
          <w:trHeight w:val="1260"/>
        </w:trPr>
        <w:tc>
          <w:tcPr>
            <w:tcW w:w="5780" w:type="dxa"/>
            <w:tcBorders>
              <w:top w:val="nil"/>
              <w:left w:val="single" w:sz="4" w:space="0" w:color="auto"/>
              <w:bottom w:val="single" w:sz="4" w:space="0" w:color="auto"/>
              <w:right w:val="single" w:sz="4" w:space="0" w:color="auto"/>
            </w:tcBorders>
            <w:shd w:val="clear" w:color="auto" w:fill="auto"/>
            <w:hideMark/>
          </w:tcPr>
          <w:p>
            <w:pPr>
              <w:spacing w:before="0"/>
              <w:ind w:left="0"/>
            </w:pPr>
            <w:r>
              <w:t xml:space="preserve">DMA 7000/2 RMX </w:t>
            </w:r>
            <w:r>
              <w:rPr>
                <w:b/>
                <w:bCs/>
                <w:i/>
                <w:iCs/>
              </w:rPr>
              <w:t>Single</w:t>
            </w:r>
            <w:r>
              <w:t xml:space="preserve"> Server Bundle.  Includes single application server, software, and 2 RMX 2000/4000 licenses, power cord kit outside US, Including Premier, one year.</w:t>
            </w:r>
          </w:p>
        </w:tc>
        <w:tc>
          <w:tcPr>
            <w:tcW w:w="820" w:type="dxa"/>
            <w:tcBorders>
              <w:top w:val="nil"/>
              <w:left w:val="nil"/>
              <w:bottom w:val="single" w:sz="4" w:space="0" w:color="auto"/>
              <w:right w:val="single" w:sz="4" w:space="0" w:color="auto"/>
            </w:tcBorders>
            <w:shd w:val="clear" w:color="auto" w:fill="auto"/>
            <w:noWrap/>
            <w:hideMark/>
          </w:tcPr>
          <w:p>
            <w:pPr>
              <w:spacing w:before="0"/>
              <w:ind w:left="0"/>
              <w:jc w:val="center"/>
            </w:pPr>
            <w:r>
              <w:t>1</w:t>
            </w:r>
          </w:p>
        </w:tc>
      </w:tr>
      <w:tr>
        <w:trPr>
          <w:trHeight w:val="315"/>
        </w:trPr>
        <w:tc>
          <w:tcPr>
            <w:tcW w:w="5780" w:type="dxa"/>
            <w:tcBorders>
              <w:top w:val="nil"/>
              <w:left w:val="single" w:sz="4" w:space="0" w:color="auto"/>
              <w:bottom w:val="single" w:sz="4" w:space="0" w:color="auto"/>
              <w:right w:val="single" w:sz="4" w:space="0" w:color="auto"/>
            </w:tcBorders>
            <w:shd w:val="clear" w:color="000000" w:fill="C0C0C0"/>
            <w:noWrap/>
            <w:hideMark/>
          </w:tcPr>
          <w:p>
            <w:pPr>
              <w:spacing w:before="0"/>
              <w:ind w:left="0"/>
              <w:rPr>
                <w:b/>
                <w:bCs/>
              </w:rPr>
            </w:pPr>
            <w:r>
              <w:rPr>
                <w:b/>
                <w:bCs/>
              </w:rPr>
              <w:lastRenderedPageBreak/>
              <w:t>VAN (VTC Access Node)</w:t>
            </w:r>
          </w:p>
        </w:tc>
        <w:tc>
          <w:tcPr>
            <w:tcW w:w="820" w:type="dxa"/>
            <w:tcBorders>
              <w:top w:val="nil"/>
              <w:left w:val="nil"/>
              <w:bottom w:val="single" w:sz="4" w:space="0" w:color="auto"/>
              <w:right w:val="single" w:sz="4" w:space="0" w:color="auto"/>
            </w:tcBorders>
            <w:shd w:val="clear" w:color="000000" w:fill="C0C0C0"/>
            <w:noWrap/>
            <w:hideMark/>
          </w:tcPr>
          <w:p>
            <w:pPr>
              <w:spacing w:before="0"/>
              <w:ind w:left="0"/>
              <w:jc w:val="center"/>
              <w:rPr>
                <w:b/>
                <w:bCs/>
              </w:rPr>
            </w:pPr>
            <w:r>
              <w:rPr>
                <w:b/>
                <w:bCs/>
              </w:rPr>
              <w:t> </w:t>
            </w:r>
          </w:p>
        </w:tc>
      </w:tr>
      <w:tr>
        <w:trPr>
          <w:trHeight w:val="1575"/>
        </w:trPr>
        <w:tc>
          <w:tcPr>
            <w:tcW w:w="5780" w:type="dxa"/>
            <w:tcBorders>
              <w:top w:val="nil"/>
              <w:left w:val="single" w:sz="4" w:space="0" w:color="auto"/>
              <w:bottom w:val="single" w:sz="4" w:space="0" w:color="auto"/>
              <w:right w:val="single" w:sz="4" w:space="0" w:color="auto"/>
            </w:tcBorders>
            <w:shd w:val="clear" w:color="auto" w:fill="auto"/>
            <w:hideMark/>
          </w:tcPr>
          <w:p>
            <w:pPr>
              <w:spacing w:before="0"/>
              <w:ind w:left="0"/>
            </w:pPr>
            <w:r>
              <w:t>VAN (VTC Access Node</w:t>
            </w:r>
            <w:proofErr w:type="gramStart"/>
            <w:r>
              <w:t>)</w:t>
            </w:r>
            <w:proofErr w:type="gramEnd"/>
            <w:r>
              <w:br/>
              <w:t>RMX2000 10 HD/40 CIF resource configured &amp; licensed system, equipped with MPM+40 Media Processing Module and a Rear Transition Module for IP (RTM IP), Including Premier, one year.</w:t>
            </w:r>
          </w:p>
        </w:tc>
        <w:tc>
          <w:tcPr>
            <w:tcW w:w="820" w:type="dxa"/>
            <w:tcBorders>
              <w:top w:val="nil"/>
              <w:left w:val="nil"/>
              <w:bottom w:val="single" w:sz="4" w:space="0" w:color="auto"/>
              <w:right w:val="single" w:sz="4" w:space="0" w:color="auto"/>
            </w:tcBorders>
            <w:shd w:val="clear" w:color="auto" w:fill="auto"/>
            <w:noWrap/>
            <w:hideMark/>
          </w:tcPr>
          <w:p>
            <w:pPr>
              <w:spacing w:before="0"/>
              <w:ind w:left="0"/>
              <w:jc w:val="center"/>
            </w:pPr>
            <w:r>
              <w:t>4</w:t>
            </w:r>
          </w:p>
        </w:tc>
      </w:tr>
      <w:tr>
        <w:trPr>
          <w:trHeight w:val="315"/>
        </w:trPr>
        <w:tc>
          <w:tcPr>
            <w:tcW w:w="5780" w:type="dxa"/>
            <w:tcBorders>
              <w:top w:val="nil"/>
              <w:left w:val="single" w:sz="4" w:space="0" w:color="auto"/>
              <w:bottom w:val="single" w:sz="4" w:space="0" w:color="auto"/>
              <w:right w:val="single" w:sz="4" w:space="0" w:color="auto"/>
            </w:tcBorders>
            <w:shd w:val="clear" w:color="000000" w:fill="C0C0C0"/>
            <w:noWrap/>
            <w:hideMark/>
          </w:tcPr>
          <w:p>
            <w:pPr>
              <w:spacing w:before="0"/>
              <w:ind w:left="0"/>
              <w:rPr>
                <w:b/>
                <w:bCs/>
              </w:rPr>
            </w:pPr>
            <w:r>
              <w:rPr>
                <w:b/>
                <w:bCs/>
              </w:rPr>
              <w:t>BPD (Boundary Protection Device)</w:t>
            </w:r>
          </w:p>
        </w:tc>
        <w:tc>
          <w:tcPr>
            <w:tcW w:w="820" w:type="dxa"/>
            <w:tcBorders>
              <w:top w:val="nil"/>
              <w:left w:val="nil"/>
              <w:bottom w:val="single" w:sz="4" w:space="0" w:color="auto"/>
              <w:right w:val="single" w:sz="4" w:space="0" w:color="auto"/>
            </w:tcBorders>
            <w:shd w:val="clear" w:color="000000" w:fill="C0C0C0"/>
            <w:noWrap/>
            <w:hideMark/>
          </w:tcPr>
          <w:p>
            <w:pPr>
              <w:spacing w:before="0"/>
              <w:ind w:left="0"/>
              <w:jc w:val="center"/>
              <w:rPr>
                <w:b/>
                <w:bCs/>
              </w:rPr>
            </w:pPr>
            <w:r>
              <w:rPr>
                <w:b/>
                <w:bCs/>
              </w:rPr>
              <w:t> </w:t>
            </w:r>
          </w:p>
        </w:tc>
      </w:tr>
      <w:tr>
        <w:trPr>
          <w:trHeight w:val="1575"/>
        </w:trPr>
        <w:tc>
          <w:tcPr>
            <w:tcW w:w="5780" w:type="dxa"/>
            <w:tcBorders>
              <w:top w:val="nil"/>
              <w:left w:val="single" w:sz="4" w:space="0" w:color="auto"/>
              <w:bottom w:val="single" w:sz="4" w:space="0" w:color="auto"/>
              <w:right w:val="single" w:sz="4" w:space="0" w:color="auto"/>
            </w:tcBorders>
            <w:shd w:val="clear" w:color="auto" w:fill="auto"/>
            <w:hideMark/>
          </w:tcPr>
          <w:p>
            <w:pPr>
              <w:spacing w:before="0"/>
              <w:ind w:left="0"/>
            </w:pPr>
            <w:r>
              <w:t xml:space="preserve">VBP 5300-E10 Firewall/ NAT traversal unit for medium to large enterprise locations. This model includes 2 x 10/100/1000 Ethernet interfaces, a 1 x 10/100 </w:t>
            </w:r>
            <w:proofErr w:type="gramStart"/>
            <w:r>
              <w:t>Ethernet  with</w:t>
            </w:r>
            <w:proofErr w:type="gramEnd"/>
            <w:r>
              <w:t xml:space="preserve"> capacity of  10meg, power cord kit outside US, Including Premier, one year.</w:t>
            </w:r>
          </w:p>
        </w:tc>
        <w:tc>
          <w:tcPr>
            <w:tcW w:w="820" w:type="dxa"/>
            <w:tcBorders>
              <w:top w:val="nil"/>
              <w:left w:val="nil"/>
              <w:bottom w:val="single" w:sz="4" w:space="0" w:color="auto"/>
              <w:right w:val="single" w:sz="4" w:space="0" w:color="auto"/>
            </w:tcBorders>
            <w:shd w:val="clear" w:color="auto" w:fill="auto"/>
            <w:noWrap/>
            <w:hideMark/>
          </w:tcPr>
          <w:p>
            <w:pPr>
              <w:spacing w:before="0"/>
              <w:ind w:left="0"/>
              <w:jc w:val="center"/>
            </w:pPr>
            <w:r>
              <w:t>2</w:t>
            </w:r>
          </w:p>
        </w:tc>
      </w:tr>
    </w:tbl>
    <w:p>
      <w:pPr>
        <w:spacing w:beforeLines="60"/>
        <w:ind w:left="0"/>
      </w:pPr>
    </w:p>
    <w:p>
      <w:pPr>
        <w:pStyle w:val="Heading1"/>
        <w:tabs>
          <w:tab w:val="clear" w:pos="432"/>
          <w:tab w:val="num" w:pos="540"/>
        </w:tabs>
      </w:pPr>
      <w:bookmarkStart w:id="5" w:name="_Toc260245663"/>
      <w:r>
        <w:t>section 2 – Procurement/DELIVERY plan</w:t>
      </w:r>
      <w:bookmarkEnd w:id="5"/>
    </w:p>
    <w:p>
      <w:pPr>
        <w:tabs>
          <w:tab w:val="num" w:pos="540"/>
        </w:tabs>
        <w:ind w:left="432"/>
      </w:pPr>
      <w:r>
        <w:t xml:space="preserve">Upon receipt of the fully executed contract from NC3A, ManTech will immediately take steps to procure the required equipment from Polycom.  Polycom has been notified that this equipment is essential to NATO operations in Afghanistan and has been requested to expedite this order.  </w:t>
      </w:r>
    </w:p>
    <w:p>
      <w:pPr>
        <w:pStyle w:val="Heading2"/>
      </w:pPr>
      <w:bookmarkStart w:id="6" w:name="_Toc260245664"/>
      <w:r>
        <w:t>Phase I– Initial Configuration and Testing (SHAPE)</w:t>
      </w:r>
      <w:bookmarkEnd w:id="6"/>
    </w:p>
    <w:p>
      <w:pPr>
        <w:pStyle w:val="ListBullet5"/>
        <w:numPr>
          <w:ilvl w:val="0"/>
          <w:numId w:val="0"/>
        </w:numPr>
        <w:tabs>
          <w:tab w:val="left" w:pos="450"/>
        </w:tabs>
        <w:ind w:left="576"/>
      </w:pPr>
      <w:r>
        <w:t>Upon delivery of the equipment to the SHAPE warehouse, ManTech will dispatch its PM/Technician to provide support to NATO’s engineers during the configuration and testing phase.  Our technician is scheduled to be on-site for 14 days in support of this requirement.</w:t>
      </w:r>
    </w:p>
    <w:p>
      <w:pPr>
        <w:pStyle w:val="Heading2"/>
      </w:pPr>
      <w:bookmarkStart w:id="7" w:name="_Toc260245665"/>
      <w:r>
        <w:t>Phase II – Installation and Implementation Support (Afghanistan)</w:t>
      </w:r>
      <w:bookmarkEnd w:id="7"/>
    </w:p>
    <w:p>
      <w:pPr>
        <w:ind w:left="576"/>
      </w:pPr>
      <w:r>
        <w:t>In Phase II, ManTech will prepare the equipment for shipment to an address specified by NATO in Afghanistan.  Upon shipment of the equipment, ManTech’s Technician/PM will deploy to Afghanistan to provide support to the NATO installation team.  Our technician is scheduled to be on-site in support of this requirement for a period of 42 days or 6 weeks.</w:t>
      </w:r>
    </w:p>
    <w:p>
      <w:pPr>
        <w:pStyle w:val="Heading2"/>
      </w:pPr>
      <w:bookmarkStart w:id="8" w:name="_Toc260245666"/>
      <w:r>
        <w:t>Project Timeline</w:t>
      </w:r>
      <w:bookmarkEnd w:id="8"/>
    </w:p>
    <w:p>
      <w:pPr>
        <w:pStyle w:val="ListBullet5"/>
        <w:numPr>
          <w:ilvl w:val="0"/>
          <w:numId w:val="0"/>
        </w:numPr>
        <w:tabs>
          <w:tab w:val="left" w:pos="1870"/>
        </w:tabs>
        <w:ind w:left="561"/>
      </w:pPr>
      <w:r>
        <w:t>The calendar below shows our estimated timeline from start to finish.  ManTech will make every effort possible to adhere to timeline and to accelerate it, when possible.  Due to the urgency for delivery and installation of the equipment for this project, ManTech has requested that our manufacturer, Polycom expedite the processing of this order.</w:t>
      </w:r>
    </w:p>
    <w:p>
      <w:pPr>
        <w:pStyle w:val="ListBullet5"/>
        <w:numPr>
          <w:ilvl w:val="0"/>
          <w:numId w:val="0"/>
        </w:numPr>
        <w:tabs>
          <w:tab w:val="left" w:pos="1870"/>
        </w:tabs>
        <w:ind w:left="561"/>
      </w:pPr>
    </w:p>
    <w:p>
      <w:pPr>
        <w:pStyle w:val="ListBullet5"/>
        <w:numPr>
          <w:ilvl w:val="0"/>
          <w:numId w:val="0"/>
        </w:numPr>
        <w:tabs>
          <w:tab w:val="left" w:pos="1870"/>
        </w:tabs>
        <w:rPr>
          <w:noProof/>
        </w:rPr>
      </w:pPr>
    </w:p>
    <w:p>
      <w:pPr>
        <w:pStyle w:val="ListBullet5"/>
        <w:numPr>
          <w:ilvl w:val="0"/>
          <w:numId w:val="0"/>
        </w:numPr>
        <w:tabs>
          <w:tab w:val="left" w:pos="1870"/>
        </w:tabs>
      </w:pPr>
      <w:r>
        <w:rPr>
          <w:noProof/>
        </w:rPr>
        <w:lastRenderedPageBreak/>
        <w:drawing>
          <wp:inline distT="0" distB="0" distL="0" distR="0">
            <wp:extent cx="5935980" cy="3417570"/>
            <wp:effectExtent l="19050" t="0" r="762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5980" cy="3417570"/>
                    </a:xfrm>
                    <a:prstGeom prst="rect">
                      <a:avLst/>
                    </a:prstGeom>
                    <a:noFill/>
                    <a:ln w="9525">
                      <a:noFill/>
                      <a:miter lim="800000"/>
                      <a:headEnd/>
                      <a:tailEnd/>
                    </a:ln>
                  </pic:spPr>
                </pic:pic>
              </a:graphicData>
            </a:graphic>
          </wp:inline>
        </w:drawing>
      </w:r>
    </w:p>
    <w:p>
      <w:pPr>
        <w:pStyle w:val="ListBullet5"/>
        <w:numPr>
          <w:ilvl w:val="0"/>
          <w:numId w:val="0"/>
        </w:numPr>
        <w:tabs>
          <w:tab w:val="left" w:pos="1870"/>
        </w:tabs>
        <w:rPr>
          <w:noProof/>
        </w:rPr>
      </w:pPr>
      <w:r>
        <w:rPr>
          <w:noProof/>
        </w:rPr>
        <w:drawing>
          <wp:inline distT="0" distB="0" distL="0" distR="0">
            <wp:extent cx="5935980" cy="3392805"/>
            <wp:effectExtent l="19050" t="0" r="762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35980" cy="3392805"/>
                    </a:xfrm>
                    <a:prstGeom prst="rect">
                      <a:avLst/>
                    </a:prstGeom>
                    <a:noFill/>
                    <a:ln w="9525">
                      <a:noFill/>
                      <a:miter lim="800000"/>
                      <a:headEnd/>
                      <a:tailEnd/>
                    </a:ln>
                  </pic:spPr>
                </pic:pic>
              </a:graphicData>
            </a:graphic>
          </wp:inline>
        </w:drawing>
      </w:r>
    </w:p>
    <w:p>
      <w:pPr>
        <w:pStyle w:val="ListBullet5"/>
        <w:numPr>
          <w:ilvl w:val="0"/>
          <w:numId w:val="0"/>
        </w:numPr>
        <w:tabs>
          <w:tab w:val="left" w:pos="1870"/>
        </w:tabs>
        <w:rPr>
          <w:noProof/>
        </w:rPr>
      </w:pPr>
    </w:p>
    <w:p>
      <w:pPr>
        <w:pStyle w:val="ListBullet5"/>
        <w:numPr>
          <w:ilvl w:val="0"/>
          <w:numId w:val="0"/>
        </w:numPr>
        <w:tabs>
          <w:tab w:val="left" w:pos="1870"/>
        </w:tabs>
        <w:rPr>
          <w:noProof/>
        </w:rPr>
      </w:pPr>
    </w:p>
    <w:p>
      <w:pPr>
        <w:pStyle w:val="ListBullet5"/>
        <w:numPr>
          <w:ilvl w:val="0"/>
          <w:numId w:val="0"/>
        </w:numPr>
        <w:tabs>
          <w:tab w:val="left" w:pos="1870"/>
        </w:tabs>
        <w:rPr>
          <w:noProof/>
        </w:rPr>
      </w:pPr>
    </w:p>
    <w:p>
      <w:pPr>
        <w:pStyle w:val="ListBullet5"/>
        <w:numPr>
          <w:ilvl w:val="0"/>
          <w:numId w:val="0"/>
        </w:numPr>
        <w:tabs>
          <w:tab w:val="left" w:pos="1870"/>
        </w:tabs>
        <w:rPr>
          <w:noProof/>
        </w:rPr>
      </w:pPr>
    </w:p>
    <w:p>
      <w:pPr>
        <w:pStyle w:val="ListBullet5"/>
        <w:numPr>
          <w:ilvl w:val="0"/>
          <w:numId w:val="0"/>
        </w:numPr>
        <w:tabs>
          <w:tab w:val="left" w:pos="1870"/>
        </w:tabs>
        <w:rPr>
          <w:noProof/>
        </w:rPr>
      </w:pPr>
    </w:p>
    <w:p>
      <w:pPr>
        <w:pStyle w:val="ListBullet5"/>
        <w:numPr>
          <w:ilvl w:val="0"/>
          <w:numId w:val="0"/>
        </w:numPr>
        <w:tabs>
          <w:tab w:val="left" w:pos="1870"/>
        </w:tabs>
        <w:rPr>
          <w:noProof/>
        </w:rPr>
      </w:pPr>
    </w:p>
    <w:p>
      <w:pPr>
        <w:pStyle w:val="ListBullet5"/>
        <w:numPr>
          <w:ilvl w:val="0"/>
          <w:numId w:val="0"/>
        </w:numPr>
        <w:tabs>
          <w:tab w:val="left" w:pos="1870"/>
        </w:tabs>
        <w:rPr>
          <w:noProof/>
        </w:rPr>
      </w:pPr>
      <w:r>
        <w:rPr>
          <w:noProof/>
        </w:rPr>
        <w:lastRenderedPageBreak/>
        <w:drawing>
          <wp:inline distT="0" distB="0" distL="0" distR="0">
            <wp:extent cx="5941060" cy="3408045"/>
            <wp:effectExtent l="19050" t="0" r="254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1060" cy="3408045"/>
                    </a:xfrm>
                    <a:prstGeom prst="rect">
                      <a:avLst/>
                    </a:prstGeom>
                    <a:noFill/>
                    <a:ln w="9525">
                      <a:noFill/>
                      <a:miter lim="800000"/>
                      <a:headEnd/>
                      <a:tailEnd/>
                    </a:ln>
                  </pic:spPr>
                </pic:pic>
              </a:graphicData>
            </a:graphic>
          </wp:inline>
        </w:drawing>
      </w:r>
    </w:p>
    <w:p>
      <w:pPr>
        <w:pStyle w:val="ListBullet5"/>
        <w:numPr>
          <w:ilvl w:val="0"/>
          <w:numId w:val="0"/>
        </w:numPr>
        <w:tabs>
          <w:tab w:val="left" w:pos="1870"/>
        </w:tabs>
        <w:rPr>
          <w:noProof/>
        </w:rPr>
      </w:pPr>
      <w:r>
        <w:rPr>
          <w:noProof/>
        </w:rPr>
        <w:drawing>
          <wp:inline distT="0" distB="0" distL="0" distR="0">
            <wp:extent cx="5946140" cy="3402965"/>
            <wp:effectExtent l="1905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946140" cy="3402965"/>
                    </a:xfrm>
                    <a:prstGeom prst="rect">
                      <a:avLst/>
                    </a:prstGeom>
                    <a:noFill/>
                    <a:ln w="9525">
                      <a:noFill/>
                      <a:miter lim="800000"/>
                      <a:headEnd/>
                      <a:tailEnd/>
                    </a:ln>
                  </pic:spPr>
                </pic:pic>
              </a:graphicData>
            </a:graphic>
          </wp:inline>
        </w:drawing>
      </w:r>
    </w:p>
    <w:p>
      <w:pPr>
        <w:pStyle w:val="ListBullet5"/>
        <w:numPr>
          <w:ilvl w:val="0"/>
          <w:numId w:val="0"/>
        </w:numPr>
        <w:tabs>
          <w:tab w:val="left" w:pos="1870"/>
        </w:tabs>
        <w:rPr>
          <w:noProof/>
        </w:rPr>
      </w:pPr>
    </w:p>
    <w:p>
      <w:pPr>
        <w:pStyle w:val="ListBullet5"/>
        <w:numPr>
          <w:ilvl w:val="0"/>
          <w:numId w:val="0"/>
        </w:numPr>
        <w:tabs>
          <w:tab w:val="left" w:pos="1870"/>
        </w:tabs>
        <w:rPr>
          <w:noProof/>
        </w:rPr>
      </w:pPr>
    </w:p>
    <w:p>
      <w:pPr>
        <w:pStyle w:val="ListBullet5"/>
        <w:numPr>
          <w:ilvl w:val="0"/>
          <w:numId w:val="0"/>
        </w:numPr>
        <w:tabs>
          <w:tab w:val="left" w:pos="1870"/>
        </w:tabs>
        <w:rPr>
          <w:noProof/>
        </w:rPr>
      </w:pPr>
    </w:p>
    <w:p>
      <w:pPr>
        <w:pStyle w:val="ListBullet5"/>
        <w:numPr>
          <w:ilvl w:val="0"/>
          <w:numId w:val="0"/>
        </w:numPr>
        <w:tabs>
          <w:tab w:val="left" w:pos="1870"/>
        </w:tabs>
        <w:rPr>
          <w:noProof/>
        </w:rPr>
      </w:pPr>
    </w:p>
    <w:p>
      <w:pPr>
        <w:pStyle w:val="ListBullet5"/>
        <w:numPr>
          <w:ilvl w:val="0"/>
          <w:numId w:val="0"/>
        </w:numPr>
        <w:tabs>
          <w:tab w:val="left" w:pos="1870"/>
        </w:tabs>
        <w:rPr>
          <w:noProof/>
        </w:rPr>
      </w:pPr>
    </w:p>
    <w:p>
      <w:pPr>
        <w:pStyle w:val="ListBullet5"/>
        <w:numPr>
          <w:ilvl w:val="0"/>
          <w:numId w:val="0"/>
        </w:numPr>
        <w:tabs>
          <w:tab w:val="left" w:pos="1870"/>
        </w:tabs>
        <w:rPr>
          <w:noProof/>
        </w:rPr>
      </w:pPr>
      <w:r>
        <w:rPr>
          <w:noProof/>
        </w:rPr>
        <w:lastRenderedPageBreak/>
        <w:drawing>
          <wp:inline distT="0" distB="0" distL="0" distR="0">
            <wp:extent cx="5941060" cy="3402965"/>
            <wp:effectExtent l="19050" t="0" r="254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941060" cy="3402965"/>
                    </a:xfrm>
                    <a:prstGeom prst="rect">
                      <a:avLst/>
                    </a:prstGeom>
                    <a:noFill/>
                    <a:ln w="9525">
                      <a:noFill/>
                      <a:miter lim="800000"/>
                      <a:headEnd/>
                      <a:tailEnd/>
                    </a:ln>
                  </pic:spPr>
                </pic:pic>
              </a:graphicData>
            </a:graphic>
          </wp:inline>
        </w:drawing>
      </w:r>
    </w:p>
    <w:p>
      <w:pPr>
        <w:pStyle w:val="ListBullet5"/>
        <w:numPr>
          <w:ilvl w:val="0"/>
          <w:numId w:val="0"/>
        </w:numPr>
        <w:tabs>
          <w:tab w:val="left" w:pos="1870"/>
        </w:tabs>
      </w:pPr>
      <w:r>
        <w:rPr>
          <w:noProof/>
        </w:rPr>
        <w:drawing>
          <wp:inline distT="0" distB="0" distL="0" distR="0">
            <wp:extent cx="5946140" cy="1788795"/>
            <wp:effectExtent l="19050" t="0" r="0" b="0"/>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946140" cy="1788795"/>
                    </a:xfrm>
                    <a:prstGeom prst="rect">
                      <a:avLst/>
                    </a:prstGeom>
                    <a:noFill/>
                    <a:ln w="9525">
                      <a:noFill/>
                      <a:miter lim="800000"/>
                      <a:headEnd/>
                      <a:tailEnd/>
                    </a:ln>
                  </pic:spPr>
                </pic:pic>
              </a:graphicData>
            </a:graphic>
          </wp:inline>
        </w:drawing>
      </w:r>
    </w:p>
    <w:p>
      <w:pPr>
        <w:ind w:left="1080"/>
        <w:rPr>
          <w:color w:val="0000FF"/>
        </w:rPr>
      </w:pPr>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AE84070"/>
    <w:lvl w:ilvl="0">
      <w:start w:val="1"/>
      <w:numFmt w:val="bullet"/>
      <w:pStyle w:val="ListBullet5"/>
      <w:lvlText w:val=""/>
      <w:lvlJc w:val="left"/>
      <w:pPr>
        <w:tabs>
          <w:tab w:val="num" w:pos="1800"/>
        </w:tabs>
        <w:ind w:left="1800" w:hanging="360"/>
      </w:pPr>
      <w:rPr>
        <w:rFonts w:ascii="Symbol" w:hAnsi="Symbol" w:hint="default"/>
        <w:sz w:val="20"/>
        <w:szCs w:val="20"/>
      </w:rPr>
    </w:lvl>
  </w:abstractNum>
  <w:abstractNum w:abstractNumId="1">
    <w:nsid w:val="445F36FE"/>
    <w:multiLevelType w:val="hybridMultilevel"/>
    <w:tmpl w:val="F448080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6EEA57C6"/>
    <w:multiLevelType w:val="multilevel"/>
    <w:tmpl w:val="23A2561C"/>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0D65"/>
    <w:rsid w:val="00320D65"/>
    <w:rsid w:val="006E3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D65"/>
    <w:pPr>
      <w:spacing w:before="120"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0D65"/>
    <w:pPr>
      <w:keepNext/>
      <w:numPr>
        <w:numId w:val="1"/>
      </w:numPr>
      <w:outlineLvl w:val="0"/>
    </w:pPr>
    <w:rPr>
      <w:rFonts w:ascii="Times New Roman Bold" w:hAnsi="Times New Roman Bold" w:cs="Arial"/>
      <w:b/>
      <w:bCs/>
      <w:caps/>
      <w:kern w:val="32"/>
      <w:sz w:val="28"/>
      <w:szCs w:val="32"/>
    </w:rPr>
  </w:style>
  <w:style w:type="paragraph" w:styleId="Heading2">
    <w:name w:val="heading 2"/>
    <w:basedOn w:val="Normal"/>
    <w:next w:val="Normal"/>
    <w:link w:val="Heading2Char"/>
    <w:autoRedefine/>
    <w:qFormat/>
    <w:rsid w:val="00320D65"/>
    <w:pPr>
      <w:keepNext/>
      <w:numPr>
        <w:ilvl w:val="1"/>
        <w:numId w:val="1"/>
      </w:numPr>
      <w:tabs>
        <w:tab w:val="left" w:pos="720"/>
      </w:tabs>
      <w:outlineLvl w:val="1"/>
    </w:pPr>
    <w:rPr>
      <w:rFonts w:ascii="Times New Roman Bold" w:hAnsi="Times New Roman Bold" w:cs="Arial"/>
      <w:b/>
      <w:bCs/>
      <w:i/>
      <w:iCs/>
      <w:sz w:val="26"/>
      <w:szCs w:val="28"/>
      <w:u w:val="single"/>
      <w:lang w:val="en-GB"/>
    </w:rPr>
  </w:style>
  <w:style w:type="paragraph" w:styleId="Heading3">
    <w:name w:val="heading 3"/>
    <w:basedOn w:val="Normal"/>
    <w:next w:val="Normal"/>
    <w:link w:val="Heading3Char"/>
    <w:qFormat/>
    <w:rsid w:val="00320D65"/>
    <w:pPr>
      <w:keepNext/>
      <w:numPr>
        <w:ilvl w:val="2"/>
        <w:numId w:val="1"/>
      </w:numPr>
      <w:tabs>
        <w:tab w:val="left" w:pos="1122"/>
      </w:tabs>
      <w:outlineLvl w:val="2"/>
    </w:pPr>
    <w:rPr>
      <w:rFonts w:cs="Arial"/>
      <w:b/>
      <w:bCs/>
      <w:sz w:val="22"/>
      <w:szCs w:val="26"/>
    </w:rPr>
  </w:style>
  <w:style w:type="paragraph" w:styleId="Heading4">
    <w:name w:val="heading 4"/>
    <w:basedOn w:val="Normal"/>
    <w:next w:val="Normal"/>
    <w:link w:val="Heading4Char"/>
    <w:qFormat/>
    <w:rsid w:val="00320D65"/>
    <w:pPr>
      <w:keepNext/>
      <w:numPr>
        <w:ilvl w:val="3"/>
        <w:numId w:val="1"/>
      </w:numPr>
      <w:tabs>
        <w:tab w:val="left" w:pos="935"/>
      </w:tabs>
      <w:outlineLvl w:val="3"/>
    </w:pPr>
    <w:rPr>
      <w:bCs/>
      <w:i/>
      <w:sz w:val="22"/>
      <w:szCs w:val="28"/>
      <w:u w:val="single"/>
    </w:rPr>
  </w:style>
  <w:style w:type="paragraph" w:styleId="Heading5">
    <w:name w:val="heading 5"/>
    <w:basedOn w:val="Normal"/>
    <w:next w:val="Normal"/>
    <w:link w:val="Heading5Char"/>
    <w:qFormat/>
    <w:rsid w:val="00320D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20D6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320D65"/>
    <w:pPr>
      <w:numPr>
        <w:ilvl w:val="6"/>
        <w:numId w:val="1"/>
      </w:numPr>
      <w:spacing w:before="240" w:after="60"/>
      <w:outlineLvl w:val="6"/>
    </w:pPr>
  </w:style>
  <w:style w:type="paragraph" w:styleId="Heading8">
    <w:name w:val="heading 8"/>
    <w:basedOn w:val="Normal"/>
    <w:next w:val="Normal"/>
    <w:link w:val="Heading8Char"/>
    <w:qFormat/>
    <w:rsid w:val="00320D65"/>
    <w:pPr>
      <w:numPr>
        <w:ilvl w:val="7"/>
        <w:numId w:val="1"/>
      </w:numPr>
      <w:spacing w:before="240" w:after="60"/>
      <w:outlineLvl w:val="7"/>
    </w:pPr>
    <w:rPr>
      <w:i/>
      <w:iCs/>
    </w:rPr>
  </w:style>
  <w:style w:type="paragraph" w:styleId="Heading9">
    <w:name w:val="heading 9"/>
    <w:basedOn w:val="Normal"/>
    <w:next w:val="Normal"/>
    <w:link w:val="Heading9Char"/>
    <w:qFormat/>
    <w:rsid w:val="00320D65"/>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D65"/>
    <w:rPr>
      <w:rFonts w:ascii="Times New Roman Bold" w:eastAsia="Times New Roman" w:hAnsi="Times New Roman Bold" w:cs="Arial"/>
      <w:b/>
      <w:bCs/>
      <w:caps/>
      <w:kern w:val="32"/>
      <w:sz w:val="28"/>
      <w:szCs w:val="32"/>
    </w:rPr>
  </w:style>
  <w:style w:type="character" w:customStyle="1" w:styleId="Heading2Char">
    <w:name w:val="Heading 2 Char"/>
    <w:basedOn w:val="DefaultParagraphFont"/>
    <w:link w:val="Heading2"/>
    <w:rsid w:val="00320D65"/>
    <w:rPr>
      <w:rFonts w:ascii="Times New Roman Bold" w:eastAsia="Times New Roman" w:hAnsi="Times New Roman Bold" w:cs="Arial"/>
      <w:b/>
      <w:bCs/>
      <w:i/>
      <w:iCs/>
      <w:sz w:val="26"/>
      <w:szCs w:val="28"/>
      <w:u w:val="single"/>
      <w:lang w:val="en-GB"/>
    </w:rPr>
  </w:style>
  <w:style w:type="character" w:customStyle="1" w:styleId="Heading3Char">
    <w:name w:val="Heading 3 Char"/>
    <w:basedOn w:val="DefaultParagraphFont"/>
    <w:link w:val="Heading3"/>
    <w:rsid w:val="00320D65"/>
    <w:rPr>
      <w:rFonts w:ascii="Times New Roman" w:eastAsia="Times New Roman" w:hAnsi="Times New Roman" w:cs="Arial"/>
      <w:b/>
      <w:bCs/>
      <w:szCs w:val="26"/>
    </w:rPr>
  </w:style>
  <w:style w:type="character" w:customStyle="1" w:styleId="Heading4Char">
    <w:name w:val="Heading 4 Char"/>
    <w:basedOn w:val="DefaultParagraphFont"/>
    <w:link w:val="Heading4"/>
    <w:rsid w:val="00320D65"/>
    <w:rPr>
      <w:rFonts w:ascii="Times New Roman" w:eastAsia="Times New Roman" w:hAnsi="Times New Roman" w:cs="Times New Roman"/>
      <w:bCs/>
      <w:i/>
      <w:szCs w:val="28"/>
      <w:u w:val="single"/>
    </w:rPr>
  </w:style>
  <w:style w:type="character" w:customStyle="1" w:styleId="Heading5Char">
    <w:name w:val="Heading 5 Char"/>
    <w:basedOn w:val="DefaultParagraphFont"/>
    <w:link w:val="Heading5"/>
    <w:rsid w:val="00320D6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20D65"/>
    <w:rPr>
      <w:rFonts w:ascii="Times New Roman" w:eastAsia="Times New Roman" w:hAnsi="Times New Roman" w:cs="Times New Roman"/>
      <w:b/>
      <w:bCs/>
    </w:rPr>
  </w:style>
  <w:style w:type="character" w:customStyle="1" w:styleId="Heading7Char">
    <w:name w:val="Heading 7 Char"/>
    <w:basedOn w:val="DefaultParagraphFont"/>
    <w:link w:val="Heading7"/>
    <w:rsid w:val="00320D6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20D6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20D65"/>
    <w:rPr>
      <w:rFonts w:ascii="Times New Roman" w:eastAsia="Times New Roman" w:hAnsi="Times New Roman" w:cs="Arial"/>
    </w:rPr>
  </w:style>
  <w:style w:type="paragraph" w:styleId="ListBullet5">
    <w:name w:val="List Bullet 5"/>
    <w:basedOn w:val="Normal"/>
    <w:rsid w:val="00320D65"/>
    <w:pPr>
      <w:numPr>
        <w:numId w:val="2"/>
      </w:numPr>
      <w:spacing w:before="0"/>
    </w:pPr>
  </w:style>
  <w:style w:type="paragraph" w:styleId="ListParagraph">
    <w:name w:val="List Paragraph"/>
    <w:basedOn w:val="Normal"/>
    <w:uiPriority w:val="34"/>
    <w:qFormat/>
    <w:rsid w:val="00320D65"/>
    <w:pPr>
      <w:contextualSpacing/>
    </w:pPr>
  </w:style>
  <w:style w:type="paragraph" w:styleId="BalloonText">
    <w:name w:val="Balloon Text"/>
    <w:basedOn w:val="Normal"/>
    <w:link w:val="BalloonTextChar"/>
    <w:uiPriority w:val="99"/>
    <w:semiHidden/>
    <w:unhideWhenUsed/>
    <w:rsid w:val="00320D6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D6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4.png" />
  <Relationship Id="rId3" Type="http://schemas.openxmlformats.org/officeDocument/2006/relationships/settings" Target="settings.xml" />
  <Relationship Id="rId7" Type="http://schemas.openxmlformats.org/officeDocument/2006/relationships/image" Target="media/image3.png"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image" Target="media/image2.png" />
  <Relationship Id="rId11" Type="http://schemas.openxmlformats.org/officeDocument/2006/relationships/fontTable" Target="fontTable.xml" />
  <Relationship Id="rId5" Type="http://schemas.openxmlformats.org/officeDocument/2006/relationships/image" Target="media/image1.png" />
  <Relationship Id="rId10" Type="http://schemas.openxmlformats.org/officeDocument/2006/relationships/image" Target="media/image6.png" />
  <Relationship Id="rId4" Type="http://schemas.openxmlformats.org/officeDocument/2006/relationships/webSettings" Target="webSettings.xml" />
  <Relationship Id="rId9" Type="http://schemas.openxmlformats.org/officeDocument/2006/relationships/image" Target="media/image5.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5</Pages>
  <Words>563</Words>
  <Characters>3214</Characters>
  <DocSecurity>0</DocSecurity>
  <Lines>26</Lines>
  <Paragraphs>7</Paragraphs>
  <ScaleCrop>false</ScaleCrop>
  <LinksUpToDate>false</LinksUpToDate>
  <CharactersWithSpaces>3770</CharactersWithSpaces>
  <SharedDoc>false</SharedDoc>
  <HyperlinksChanged>false</HyperlinksChanged>
</Properties>
</file>